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8D701F" w14:textId="77777777" w:rsidR="004101FC" w:rsidRPr="00B800B6" w:rsidRDefault="004D082A" w:rsidP="00B800B6">
      <w:pPr>
        <w:jc w:val="center"/>
        <w:rPr>
          <w:rFonts w:cs="Times New Roman"/>
          <w:b/>
          <w:sz w:val="24"/>
          <w:szCs w:val="24"/>
          <w:u w:val="single"/>
        </w:rPr>
      </w:pPr>
      <w:bookmarkStart w:id="0" w:name="_GoBack"/>
      <w:bookmarkEnd w:id="0"/>
      <w:r w:rsidRPr="00B800B6">
        <w:rPr>
          <w:rFonts w:cs="Times New Roman"/>
          <w:b/>
          <w:sz w:val="24"/>
          <w:szCs w:val="24"/>
          <w:u w:val="single"/>
        </w:rPr>
        <w:t>Facilitation of</w:t>
      </w:r>
      <w:r w:rsidR="004101FC" w:rsidRPr="00B800B6">
        <w:rPr>
          <w:rFonts w:cs="Times New Roman"/>
          <w:b/>
          <w:sz w:val="24"/>
          <w:szCs w:val="24"/>
          <w:u w:val="single"/>
        </w:rPr>
        <w:t xml:space="preserve"> Union</w:t>
      </w:r>
      <w:r w:rsidR="007F2AD9" w:rsidRPr="00B800B6">
        <w:rPr>
          <w:rFonts w:cs="Times New Roman"/>
          <w:b/>
          <w:sz w:val="24"/>
          <w:szCs w:val="24"/>
          <w:u w:val="single"/>
        </w:rPr>
        <w:t xml:space="preserve"> Stop-Work</w:t>
      </w:r>
      <w:r w:rsidR="004101FC" w:rsidRPr="00B800B6">
        <w:rPr>
          <w:rFonts w:cs="Times New Roman"/>
          <w:b/>
          <w:sz w:val="24"/>
          <w:szCs w:val="24"/>
          <w:u w:val="single"/>
        </w:rPr>
        <w:t xml:space="preserve"> Meetings</w:t>
      </w:r>
    </w:p>
    <w:p w14:paraId="71743A79" w14:textId="77777777" w:rsidR="000B2DF9" w:rsidRPr="000B2DF9" w:rsidRDefault="000B2DF9" w:rsidP="000B2DF9">
      <w:pPr>
        <w:spacing w:after="120" w:line="240" w:lineRule="auto"/>
        <w:rPr>
          <w:sz w:val="24"/>
          <w:szCs w:val="24"/>
        </w:rPr>
      </w:pPr>
      <w:r w:rsidRPr="000B2DF9">
        <w:rPr>
          <w:sz w:val="24"/>
          <w:szCs w:val="24"/>
        </w:rPr>
        <w:t>These guidelines apply to stopwork meetings as provided for by Section 26 of the Employment Relations Act and as further provided for by Collective Agreements.</w:t>
      </w:r>
    </w:p>
    <w:p w14:paraId="2B134236" w14:textId="77777777" w:rsidR="006A2CDD" w:rsidRPr="00B800B6" w:rsidRDefault="006A2CDD" w:rsidP="000B2DF9">
      <w:pPr>
        <w:spacing w:after="120" w:line="240" w:lineRule="auto"/>
        <w:jc w:val="both"/>
        <w:rPr>
          <w:rFonts w:cs="Times New Roman"/>
          <w:b/>
          <w:sz w:val="24"/>
          <w:szCs w:val="24"/>
          <w:u w:val="single"/>
        </w:rPr>
      </w:pPr>
    </w:p>
    <w:p w14:paraId="1CDFD4AE" w14:textId="77777777" w:rsidR="0083561F" w:rsidRPr="00B800B6" w:rsidRDefault="0083561F" w:rsidP="00B800B6">
      <w:p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 xml:space="preserve">The rights of employees to freely associate and to attend stop-work union meetings are fundamental. </w:t>
      </w:r>
      <w:r w:rsidR="007F2AD9" w:rsidRPr="00B800B6">
        <w:rPr>
          <w:rFonts w:cs="Times New Roman"/>
          <w:sz w:val="24"/>
          <w:szCs w:val="24"/>
        </w:rPr>
        <w:t>B</w:t>
      </w:r>
      <w:r w:rsidRPr="00B800B6">
        <w:rPr>
          <w:rFonts w:cs="Times New Roman"/>
          <w:sz w:val="24"/>
          <w:szCs w:val="24"/>
        </w:rPr>
        <w:t>y their very nature</w:t>
      </w:r>
      <w:r w:rsidR="007F2AD9" w:rsidRPr="00B800B6">
        <w:rPr>
          <w:rFonts w:cs="Times New Roman"/>
          <w:sz w:val="24"/>
          <w:szCs w:val="24"/>
        </w:rPr>
        <w:t xml:space="preserve"> stop-work meetings</w:t>
      </w:r>
      <w:r w:rsidRPr="00B800B6">
        <w:rPr>
          <w:rFonts w:cs="Times New Roman"/>
          <w:sz w:val="24"/>
          <w:szCs w:val="24"/>
        </w:rPr>
        <w:t xml:space="preserve"> will be more or less disruptive to the employer’s business, but they are </w:t>
      </w:r>
      <w:r w:rsidR="007F2AD9" w:rsidRPr="00B800B6">
        <w:rPr>
          <w:rFonts w:cs="Times New Roman"/>
          <w:sz w:val="24"/>
          <w:szCs w:val="24"/>
        </w:rPr>
        <w:t xml:space="preserve">called from time to time because they are </w:t>
      </w:r>
      <w:r w:rsidRPr="00B800B6">
        <w:rPr>
          <w:rFonts w:cs="Times New Roman"/>
          <w:sz w:val="24"/>
          <w:szCs w:val="24"/>
        </w:rPr>
        <w:t xml:space="preserve">essential to empowering and enabling all union members to participate in </w:t>
      </w:r>
      <w:r w:rsidR="007F2AD9" w:rsidRPr="00B800B6">
        <w:rPr>
          <w:rFonts w:cs="Times New Roman"/>
          <w:sz w:val="24"/>
          <w:szCs w:val="24"/>
        </w:rPr>
        <w:t>the</w:t>
      </w:r>
      <w:r w:rsidRPr="00B800B6">
        <w:rPr>
          <w:rFonts w:cs="Times New Roman"/>
          <w:sz w:val="24"/>
          <w:szCs w:val="24"/>
        </w:rPr>
        <w:t xml:space="preserve"> decision-making processes</w:t>
      </w:r>
      <w:r w:rsidR="007F2AD9" w:rsidRPr="00B800B6">
        <w:rPr>
          <w:rFonts w:cs="Times New Roman"/>
          <w:sz w:val="24"/>
          <w:szCs w:val="24"/>
        </w:rPr>
        <w:t xml:space="preserve"> of the union</w:t>
      </w:r>
      <w:r w:rsidRPr="00B800B6">
        <w:rPr>
          <w:rFonts w:cs="Times New Roman"/>
          <w:sz w:val="24"/>
          <w:szCs w:val="24"/>
        </w:rPr>
        <w:t>.</w:t>
      </w:r>
    </w:p>
    <w:p w14:paraId="51EEE07D" w14:textId="77777777" w:rsidR="006A2CDD" w:rsidRPr="00B800B6" w:rsidRDefault="006A2CDD" w:rsidP="00B800B6">
      <w:pPr>
        <w:jc w:val="both"/>
        <w:rPr>
          <w:rFonts w:cs="Times New Roman"/>
          <w:sz w:val="24"/>
          <w:szCs w:val="24"/>
        </w:rPr>
      </w:pPr>
    </w:p>
    <w:p w14:paraId="54270DF9" w14:textId="77777777" w:rsidR="00A230FB" w:rsidRPr="00B800B6" w:rsidRDefault="00A230FB" w:rsidP="00B800B6">
      <w:pPr>
        <w:jc w:val="both"/>
        <w:rPr>
          <w:rFonts w:cs="Times New Roman"/>
          <w:b/>
          <w:sz w:val="24"/>
          <w:szCs w:val="24"/>
        </w:rPr>
      </w:pPr>
      <w:r w:rsidRPr="00B800B6">
        <w:rPr>
          <w:rFonts w:cs="Times New Roman"/>
          <w:b/>
          <w:sz w:val="24"/>
          <w:szCs w:val="24"/>
        </w:rPr>
        <w:t>The law</w:t>
      </w:r>
    </w:p>
    <w:p w14:paraId="794FFF3E" w14:textId="77777777" w:rsidR="00A230FB" w:rsidRPr="00B800B6" w:rsidRDefault="00A230FB" w:rsidP="00B800B6">
      <w:p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 xml:space="preserve">Under s 26 of the Employment Relations Act 2000, employers must allow all union member employees to attend at least 2 union meetings (each of a maximum of 2 hours’ duration) in each calendar year which will be paid as normal work time. </w:t>
      </w:r>
    </w:p>
    <w:p w14:paraId="0CFFDC0C" w14:textId="50519464" w:rsidR="00A230FB" w:rsidRPr="00B800B6" w:rsidRDefault="00A230FB" w:rsidP="00B800B6">
      <w:p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 xml:space="preserve">In exchange, </w:t>
      </w:r>
      <w:r w:rsidR="0062455E" w:rsidRPr="00B800B6">
        <w:rPr>
          <w:rFonts w:cs="Times New Roman"/>
          <w:sz w:val="24"/>
          <w:szCs w:val="24"/>
        </w:rPr>
        <w:t>unions</w:t>
      </w:r>
      <w:r w:rsidRPr="00B800B6">
        <w:rPr>
          <w:rFonts w:cs="Times New Roman"/>
          <w:sz w:val="24"/>
          <w:szCs w:val="24"/>
        </w:rPr>
        <w:t xml:space="preserve"> need to provide </w:t>
      </w:r>
      <w:r w:rsidR="0062455E" w:rsidRPr="00B800B6">
        <w:rPr>
          <w:rFonts w:cs="Times New Roman"/>
          <w:sz w:val="24"/>
          <w:szCs w:val="24"/>
        </w:rPr>
        <w:t>employers</w:t>
      </w:r>
      <w:r w:rsidRPr="00B800B6">
        <w:rPr>
          <w:rFonts w:cs="Times New Roman"/>
          <w:sz w:val="24"/>
          <w:szCs w:val="24"/>
        </w:rPr>
        <w:t xml:space="preserve"> with at least 14 days’ notice and work together with </w:t>
      </w:r>
      <w:r w:rsidR="00B800B6">
        <w:rPr>
          <w:rFonts w:cs="Times New Roman"/>
          <w:sz w:val="24"/>
          <w:szCs w:val="24"/>
        </w:rPr>
        <w:t>the employer</w:t>
      </w:r>
      <w:r w:rsidRPr="00B800B6">
        <w:rPr>
          <w:rFonts w:cs="Times New Roman"/>
          <w:sz w:val="24"/>
          <w:szCs w:val="24"/>
        </w:rPr>
        <w:t xml:space="preserve"> to arrange for as many union members as possible to attend while also ensuring that the provision of critical services continues.</w:t>
      </w:r>
    </w:p>
    <w:p w14:paraId="4EA968D6" w14:textId="77777777" w:rsidR="006A2CDD" w:rsidRPr="00B800B6" w:rsidRDefault="006A2CDD" w:rsidP="00B800B6">
      <w:pPr>
        <w:jc w:val="both"/>
        <w:rPr>
          <w:rFonts w:cs="Times New Roman"/>
          <w:sz w:val="24"/>
          <w:szCs w:val="24"/>
        </w:rPr>
      </w:pPr>
    </w:p>
    <w:p w14:paraId="5427C796" w14:textId="77777777" w:rsidR="00A230FB" w:rsidRPr="00B800B6" w:rsidRDefault="0062455E" w:rsidP="00B800B6">
      <w:p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b/>
          <w:sz w:val="24"/>
          <w:szCs w:val="24"/>
        </w:rPr>
        <w:t>Union Obligations</w:t>
      </w:r>
    </w:p>
    <w:p w14:paraId="1520AA46" w14:textId="49E71708" w:rsidR="0083561F" w:rsidRPr="00B800B6" w:rsidRDefault="0062455E" w:rsidP="00B800B6">
      <w:p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>The union</w:t>
      </w:r>
      <w:r w:rsidR="00A230FB" w:rsidRPr="00B800B6">
        <w:rPr>
          <w:rFonts w:cs="Times New Roman"/>
          <w:sz w:val="24"/>
          <w:szCs w:val="24"/>
        </w:rPr>
        <w:t xml:space="preserve"> will do </w:t>
      </w:r>
      <w:r w:rsidR="00B800B6">
        <w:rPr>
          <w:rFonts w:cs="Times New Roman"/>
          <w:sz w:val="24"/>
          <w:szCs w:val="24"/>
        </w:rPr>
        <w:t>its</w:t>
      </w:r>
      <w:r w:rsidR="00A230FB" w:rsidRPr="00B800B6">
        <w:rPr>
          <w:rFonts w:cs="Times New Roman"/>
          <w:sz w:val="24"/>
          <w:szCs w:val="24"/>
        </w:rPr>
        <w:t xml:space="preserve"> best to provide as much advance notice of any planned stop-work meetings as possible. In practice, we </w:t>
      </w:r>
      <w:r w:rsidR="0083561F" w:rsidRPr="00B800B6">
        <w:rPr>
          <w:rFonts w:cs="Times New Roman"/>
          <w:sz w:val="24"/>
          <w:szCs w:val="24"/>
        </w:rPr>
        <w:t>usually give employers several weeks’ n</w:t>
      </w:r>
      <w:r w:rsidR="00A230FB" w:rsidRPr="00B800B6">
        <w:rPr>
          <w:rFonts w:cs="Times New Roman"/>
          <w:sz w:val="24"/>
          <w:szCs w:val="24"/>
        </w:rPr>
        <w:t xml:space="preserve">otice. We do this in good faith and in the expectation that employers will reciprocate this gesture by proactively working with </w:t>
      </w:r>
      <w:r w:rsidR="00B800B6">
        <w:rPr>
          <w:rFonts w:cs="Times New Roman"/>
          <w:sz w:val="24"/>
          <w:szCs w:val="24"/>
        </w:rPr>
        <w:t>the union</w:t>
      </w:r>
      <w:r w:rsidR="00A230FB" w:rsidRPr="00B800B6">
        <w:rPr>
          <w:rFonts w:cs="Times New Roman"/>
          <w:sz w:val="24"/>
          <w:szCs w:val="24"/>
        </w:rPr>
        <w:t xml:space="preserve"> in a responsive and communicative manner, as is required of them under s 4 of the Act</w:t>
      </w:r>
      <w:r w:rsidR="0083561F" w:rsidRPr="00B800B6">
        <w:rPr>
          <w:rFonts w:cs="Times New Roman"/>
          <w:sz w:val="24"/>
          <w:szCs w:val="24"/>
        </w:rPr>
        <w:t>.</w:t>
      </w:r>
      <w:r w:rsidR="00B800B6">
        <w:rPr>
          <w:rFonts w:cs="Times New Roman"/>
          <w:sz w:val="24"/>
          <w:szCs w:val="24"/>
        </w:rPr>
        <w:t xml:space="preserve">  For example, it may be useful for the employer to have a guesstimate of the number of union members it is believed will be attending the meeting to help with planning.</w:t>
      </w:r>
    </w:p>
    <w:p w14:paraId="2130FEAC" w14:textId="77777777" w:rsidR="006A2CDD" w:rsidRPr="00B800B6" w:rsidRDefault="006A2CDD" w:rsidP="00B800B6">
      <w:pPr>
        <w:jc w:val="both"/>
        <w:rPr>
          <w:rFonts w:cs="Times New Roman"/>
          <w:sz w:val="24"/>
          <w:szCs w:val="24"/>
        </w:rPr>
      </w:pPr>
    </w:p>
    <w:p w14:paraId="6FA6CBA5" w14:textId="239BDF0C" w:rsidR="004D082A" w:rsidRPr="00B800B6" w:rsidRDefault="00B800B6" w:rsidP="00B800B6">
      <w:pPr>
        <w:jc w:val="both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Union</w:t>
      </w:r>
      <w:r w:rsidR="004D082A" w:rsidRPr="00B800B6">
        <w:rPr>
          <w:rFonts w:cs="Times New Roman"/>
          <w:b/>
          <w:sz w:val="24"/>
          <w:szCs w:val="24"/>
        </w:rPr>
        <w:t xml:space="preserve"> expectations</w:t>
      </w:r>
    </w:p>
    <w:p w14:paraId="6CDF7DDD" w14:textId="77777777" w:rsidR="0083561F" w:rsidRPr="00B800B6" w:rsidRDefault="00490184" w:rsidP="00B800B6">
      <w:p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 xml:space="preserve">We note the Employment Court’s </w:t>
      </w:r>
      <w:r w:rsidR="0083561F" w:rsidRPr="00B800B6">
        <w:rPr>
          <w:rFonts w:cs="Times New Roman"/>
          <w:sz w:val="24"/>
          <w:szCs w:val="24"/>
        </w:rPr>
        <w:t>rulings</w:t>
      </w:r>
      <w:r w:rsidRPr="00B800B6">
        <w:rPr>
          <w:rFonts w:cs="Times New Roman"/>
          <w:sz w:val="24"/>
          <w:szCs w:val="24"/>
        </w:rPr>
        <w:t xml:space="preserve"> that</w:t>
      </w:r>
      <w:r w:rsidR="0083561F" w:rsidRPr="00B800B6">
        <w:rPr>
          <w:rFonts w:cs="Times New Roman"/>
          <w:sz w:val="24"/>
          <w:szCs w:val="24"/>
        </w:rPr>
        <w:t>:</w:t>
      </w:r>
      <w:r w:rsidRPr="00B800B6">
        <w:rPr>
          <w:rFonts w:cs="Times New Roman"/>
          <w:sz w:val="24"/>
          <w:szCs w:val="24"/>
        </w:rPr>
        <w:t xml:space="preserve"> </w:t>
      </w:r>
    </w:p>
    <w:p w14:paraId="54EC6A1D" w14:textId="77777777" w:rsidR="0083561F" w:rsidRPr="00B800B6" w:rsidRDefault="0083561F" w:rsidP="00B800B6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>Section</w:t>
      </w:r>
      <w:r w:rsidR="00490184" w:rsidRPr="00B800B6">
        <w:rPr>
          <w:rFonts w:cs="Times New Roman"/>
          <w:sz w:val="24"/>
          <w:szCs w:val="24"/>
        </w:rPr>
        <w:t xml:space="preserve"> 26 </w:t>
      </w:r>
      <w:r w:rsidRPr="00B800B6">
        <w:rPr>
          <w:rFonts w:cs="Times New Roman"/>
          <w:sz w:val="24"/>
          <w:szCs w:val="24"/>
        </w:rPr>
        <w:t>is principally intended to benefit unions and union members.</w:t>
      </w:r>
    </w:p>
    <w:p w14:paraId="0CAFCADB" w14:textId="77777777" w:rsidR="00490184" w:rsidRPr="00B800B6" w:rsidRDefault="0083561F" w:rsidP="00B800B6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 xml:space="preserve">Stop-work </w:t>
      </w:r>
      <w:r w:rsidR="00490184" w:rsidRPr="00B800B6">
        <w:rPr>
          <w:rFonts w:cs="Times New Roman"/>
          <w:sz w:val="24"/>
          <w:szCs w:val="24"/>
        </w:rPr>
        <w:t>meetings are not intended to be cost-neutral to employers.</w:t>
      </w:r>
      <w:r w:rsidR="00490184" w:rsidRPr="00B800B6">
        <w:rPr>
          <w:rStyle w:val="FootnoteReference"/>
          <w:rFonts w:cs="Times New Roman"/>
          <w:sz w:val="24"/>
          <w:szCs w:val="24"/>
        </w:rPr>
        <w:footnoteReference w:id="1"/>
      </w:r>
    </w:p>
    <w:p w14:paraId="4F05F1C0" w14:textId="77777777" w:rsidR="005A3F9B" w:rsidRPr="00B800B6" w:rsidRDefault="005A3F9B" w:rsidP="00B800B6">
      <w:pPr>
        <w:pStyle w:val="ListParagraph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>As a matter of law, t</w:t>
      </w:r>
      <w:r w:rsidR="0083561F" w:rsidRPr="00B800B6">
        <w:rPr>
          <w:rFonts w:cs="Times New Roman"/>
          <w:sz w:val="24"/>
          <w:szCs w:val="24"/>
        </w:rPr>
        <w:t xml:space="preserve">he date and time of </w:t>
      </w:r>
      <w:r w:rsidRPr="00B800B6">
        <w:rPr>
          <w:rFonts w:cs="Times New Roman"/>
          <w:sz w:val="24"/>
          <w:szCs w:val="24"/>
        </w:rPr>
        <w:t>a</w:t>
      </w:r>
      <w:r w:rsidR="0083561F" w:rsidRPr="00B800B6">
        <w:rPr>
          <w:rFonts w:cs="Times New Roman"/>
          <w:sz w:val="24"/>
          <w:szCs w:val="24"/>
        </w:rPr>
        <w:t xml:space="preserve"> scheduled meeting cannot be objected to by </w:t>
      </w:r>
      <w:r w:rsidRPr="00B800B6">
        <w:rPr>
          <w:rFonts w:cs="Times New Roman"/>
          <w:sz w:val="24"/>
          <w:szCs w:val="24"/>
        </w:rPr>
        <w:t>an</w:t>
      </w:r>
      <w:r w:rsidR="0083561F" w:rsidRPr="00B800B6">
        <w:rPr>
          <w:rFonts w:cs="Times New Roman"/>
          <w:sz w:val="24"/>
          <w:szCs w:val="24"/>
        </w:rPr>
        <w:t xml:space="preserve"> employer </w:t>
      </w:r>
      <w:r w:rsidRPr="00B800B6">
        <w:rPr>
          <w:rFonts w:cs="Times New Roman"/>
          <w:sz w:val="24"/>
          <w:szCs w:val="24"/>
        </w:rPr>
        <w:t>once</w:t>
      </w:r>
      <w:r w:rsidR="0083561F" w:rsidRPr="00B800B6">
        <w:rPr>
          <w:rFonts w:cs="Times New Roman"/>
          <w:sz w:val="24"/>
          <w:szCs w:val="24"/>
        </w:rPr>
        <w:t xml:space="preserve"> 14 days’ notice </w:t>
      </w:r>
      <w:r w:rsidRPr="00B800B6">
        <w:rPr>
          <w:rFonts w:cs="Times New Roman"/>
          <w:sz w:val="24"/>
          <w:szCs w:val="24"/>
        </w:rPr>
        <w:t>or more has been</w:t>
      </w:r>
      <w:r w:rsidR="0083561F" w:rsidRPr="00B800B6">
        <w:rPr>
          <w:rFonts w:cs="Times New Roman"/>
          <w:sz w:val="24"/>
          <w:szCs w:val="24"/>
        </w:rPr>
        <w:t xml:space="preserve"> given.</w:t>
      </w:r>
    </w:p>
    <w:p w14:paraId="32182373" w14:textId="07168A63" w:rsidR="005A3F9B" w:rsidRPr="00B800B6" w:rsidRDefault="005A793F" w:rsidP="00B800B6">
      <w:p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lastRenderedPageBreak/>
        <w:t>W</w:t>
      </w:r>
      <w:r w:rsidR="00E609B5" w:rsidRPr="00B800B6">
        <w:rPr>
          <w:rFonts w:cs="Times New Roman"/>
          <w:sz w:val="24"/>
          <w:szCs w:val="24"/>
        </w:rPr>
        <w:t xml:space="preserve">e do not consider it </w:t>
      </w:r>
      <w:r w:rsidR="007F2AD9" w:rsidRPr="00B800B6">
        <w:rPr>
          <w:rFonts w:cs="Times New Roman"/>
          <w:sz w:val="24"/>
          <w:szCs w:val="24"/>
        </w:rPr>
        <w:t>in accordance with the duty of good f</w:t>
      </w:r>
      <w:r w:rsidR="006120B4" w:rsidRPr="00B800B6">
        <w:rPr>
          <w:rFonts w:cs="Times New Roman"/>
          <w:sz w:val="24"/>
          <w:szCs w:val="24"/>
        </w:rPr>
        <w:t xml:space="preserve">aith required under the Act for </w:t>
      </w:r>
      <w:r w:rsidR="00E609B5" w:rsidRPr="00B800B6">
        <w:rPr>
          <w:rFonts w:cs="Times New Roman"/>
          <w:sz w:val="24"/>
          <w:szCs w:val="24"/>
        </w:rPr>
        <w:t xml:space="preserve">an employer to fail to </w:t>
      </w:r>
      <w:r w:rsidR="00BB6919" w:rsidRPr="00B800B6">
        <w:rPr>
          <w:rFonts w:cs="Times New Roman"/>
          <w:sz w:val="24"/>
          <w:szCs w:val="24"/>
        </w:rPr>
        <w:t xml:space="preserve">work </w:t>
      </w:r>
      <w:r w:rsidR="007F2AD9" w:rsidRPr="00B800B6">
        <w:rPr>
          <w:rFonts w:cs="Times New Roman"/>
          <w:sz w:val="24"/>
          <w:szCs w:val="24"/>
        </w:rPr>
        <w:t xml:space="preserve">with </w:t>
      </w:r>
      <w:r w:rsidR="006A2CDD" w:rsidRPr="00B800B6">
        <w:rPr>
          <w:rFonts w:cs="Times New Roman"/>
          <w:sz w:val="24"/>
          <w:szCs w:val="24"/>
        </w:rPr>
        <w:t xml:space="preserve">a union </w:t>
      </w:r>
      <w:r w:rsidR="007F2AD9" w:rsidRPr="00B800B6">
        <w:rPr>
          <w:rFonts w:cs="Times New Roman"/>
          <w:sz w:val="24"/>
          <w:szCs w:val="24"/>
        </w:rPr>
        <w:t>in a constructive and</w:t>
      </w:r>
      <w:r w:rsidR="00BB6919" w:rsidRPr="00B800B6">
        <w:rPr>
          <w:rFonts w:cs="Times New Roman"/>
          <w:sz w:val="24"/>
          <w:szCs w:val="24"/>
        </w:rPr>
        <w:t xml:space="preserve"> </w:t>
      </w:r>
      <w:r w:rsidR="007F2AD9" w:rsidRPr="00B800B6">
        <w:rPr>
          <w:rFonts w:cs="Times New Roman"/>
          <w:sz w:val="24"/>
          <w:szCs w:val="24"/>
        </w:rPr>
        <w:t>timely manner</w:t>
      </w:r>
      <w:r w:rsidR="00BB6919" w:rsidRPr="00B800B6">
        <w:rPr>
          <w:rFonts w:cs="Times New Roman"/>
          <w:sz w:val="24"/>
          <w:szCs w:val="24"/>
        </w:rPr>
        <w:t xml:space="preserve"> to </w:t>
      </w:r>
      <w:r w:rsidR="00490184" w:rsidRPr="00B800B6">
        <w:rPr>
          <w:rFonts w:cs="Times New Roman"/>
          <w:sz w:val="24"/>
          <w:szCs w:val="24"/>
        </w:rPr>
        <w:t xml:space="preserve">ensure that </w:t>
      </w:r>
      <w:r w:rsidR="00BB6919" w:rsidRPr="00B800B6">
        <w:rPr>
          <w:rFonts w:cs="Times New Roman"/>
          <w:sz w:val="24"/>
          <w:szCs w:val="24"/>
        </w:rPr>
        <w:t xml:space="preserve">as many union </w:t>
      </w:r>
      <w:r w:rsidR="006120B4" w:rsidRPr="00B800B6">
        <w:rPr>
          <w:rFonts w:cs="Times New Roman"/>
          <w:sz w:val="24"/>
          <w:szCs w:val="24"/>
        </w:rPr>
        <w:t>members</w:t>
      </w:r>
      <w:r w:rsidR="00BB6919" w:rsidRPr="00B800B6">
        <w:rPr>
          <w:rFonts w:cs="Times New Roman"/>
          <w:sz w:val="24"/>
          <w:szCs w:val="24"/>
        </w:rPr>
        <w:t xml:space="preserve"> as possible</w:t>
      </w:r>
      <w:r w:rsidR="007F2AD9" w:rsidRPr="00B800B6">
        <w:rPr>
          <w:rFonts w:cs="Times New Roman"/>
          <w:sz w:val="24"/>
          <w:szCs w:val="24"/>
        </w:rPr>
        <w:t xml:space="preserve"> are available </w:t>
      </w:r>
      <w:r w:rsidR="00490184" w:rsidRPr="00B800B6">
        <w:rPr>
          <w:rFonts w:cs="Times New Roman"/>
          <w:sz w:val="24"/>
          <w:szCs w:val="24"/>
        </w:rPr>
        <w:t>to</w:t>
      </w:r>
      <w:r w:rsidR="00BB6919" w:rsidRPr="00B800B6">
        <w:rPr>
          <w:rFonts w:cs="Times New Roman"/>
          <w:sz w:val="24"/>
          <w:szCs w:val="24"/>
        </w:rPr>
        <w:t xml:space="preserve"> attend </w:t>
      </w:r>
      <w:r w:rsidR="006120B4" w:rsidRPr="00B800B6">
        <w:rPr>
          <w:rFonts w:cs="Times New Roman"/>
          <w:sz w:val="24"/>
          <w:szCs w:val="24"/>
        </w:rPr>
        <w:t xml:space="preserve">scheduled </w:t>
      </w:r>
      <w:r w:rsidR="00E609B5" w:rsidRPr="00B800B6">
        <w:rPr>
          <w:rFonts w:cs="Times New Roman"/>
          <w:sz w:val="24"/>
          <w:szCs w:val="24"/>
        </w:rPr>
        <w:t>stop-work meeting</w:t>
      </w:r>
      <w:r w:rsidR="005A3F9B" w:rsidRPr="00B800B6">
        <w:rPr>
          <w:rFonts w:cs="Times New Roman"/>
          <w:sz w:val="24"/>
          <w:szCs w:val="24"/>
        </w:rPr>
        <w:t>s</w:t>
      </w:r>
      <w:r w:rsidR="006120B4" w:rsidRPr="00B800B6">
        <w:rPr>
          <w:rFonts w:cs="Times New Roman"/>
          <w:sz w:val="24"/>
          <w:szCs w:val="24"/>
        </w:rPr>
        <w:t>.</w:t>
      </w:r>
      <w:r w:rsidR="007F2AD9" w:rsidRPr="00B800B6">
        <w:rPr>
          <w:rFonts w:cs="Times New Roman"/>
          <w:sz w:val="24"/>
          <w:szCs w:val="24"/>
        </w:rPr>
        <w:t xml:space="preserve"> </w:t>
      </w:r>
      <w:r w:rsidR="00B800B6">
        <w:rPr>
          <w:rFonts w:cs="Times New Roman"/>
          <w:sz w:val="24"/>
          <w:szCs w:val="24"/>
        </w:rPr>
        <w:t xml:space="preserve"> </w:t>
      </w:r>
      <w:r w:rsidRPr="00B800B6">
        <w:rPr>
          <w:rFonts w:cs="Times New Roman"/>
          <w:sz w:val="24"/>
          <w:szCs w:val="24"/>
        </w:rPr>
        <w:t>This is especially so where w</w:t>
      </w:r>
      <w:r w:rsidR="006120B4" w:rsidRPr="00B800B6">
        <w:rPr>
          <w:rFonts w:cs="Times New Roman"/>
          <w:sz w:val="24"/>
          <w:szCs w:val="24"/>
        </w:rPr>
        <w:t xml:space="preserve">e have </w:t>
      </w:r>
      <w:r w:rsidR="000F465A" w:rsidRPr="00B800B6">
        <w:rPr>
          <w:rFonts w:cs="Times New Roman"/>
          <w:sz w:val="24"/>
          <w:szCs w:val="24"/>
        </w:rPr>
        <w:t>given</w:t>
      </w:r>
      <w:r w:rsidR="006120B4" w:rsidRPr="00B800B6">
        <w:rPr>
          <w:rFonts w:cs="Times New Roman"/>
          <w:sz w:val="24"/>
          <w:szCs w:val="24"/>
        </w:rPr>
        <w:t xml:space="preserve"> an employer </w:t>
      </w:r>
      <w:r w:rsidR="000F465A" w:rsidRPr="00B800B6">
        <w:rPr>
          <w:rFonts w:cs="Times New Roman"/>
          <w:sz w:val="24"/>
          <w:szCs w:val="24"/>
        </w:rPr>
        <w:t>ample notice.</w:t>
      </w:r>
      <w:r w:rsidRPr="00B800B6">
        <w:rPr>
          <w:rFonts w:cs="Times New Roman"/>
          <w:sz w:val="24"/>
          <w:szCs w:val="24"/>
        </w:rPr>
        <w:t xml:space="preserve">  A number of things arise from this:</w:t>
      </w:r>
    </w:p>
    <w:p w14:paraId="6314BE4E" w14:textId="77777777" w:rsidR="007F2AD9" w:rsidRPr="00B800B6" w:rsidRDefault="005A3F9B" w:rsidP="00B800B6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>Employers should not</w:t>
      </w:r>
      <w:r w:rsidR="0083561F" w:rsidRPr="00B800B6">
        <w:rPr>
          <w:rFonts w:cs="Times New Roman"/>
          <w:sz w:val="24"/>
          <w:szCs w:val="24"/>
        </w:rPr>
        <w:t xml:space="preserve"> ‘sit on their hands’</w:t>
      </w:r>
      <w:r w:rsidRPr="00B800B6">
        <w:rPr>
          <w:rFonts w:cs="Times New Roman"/>
          <w:sz w:val="24"/>
          <w:szCs w:val="24"/>
        </w:rPr>
        <w:t xml:space="preserve"> during the notice period so that a stop-work meeting become</w:t>
      </w:r>
      <w:r w:rsidR="005A793F" w:rsidRPr="00B800B6">
        <w:rPr>
          <w:rFonts w:cs="Times New Roman"/>
          <w:sz w:val="24"/>
          <w:szCs w:val="24"/>
        </w:rPr>
        <w:t>s needlessly disruptive to the</w:t>
      </w:r>
      <w:r w:rsidRPr="00B800B6">
        <w:rPr>
          <w:rFonts w:cs="Times New Roman"/>
          <w:sz w:val="24"/>
          <w:szCs w:val="24"/>
        </w:rPr>
        <w:t xml:space="preserve"> business, nor should they be obstinate </w:t>
      </w:r>
      <w:r w:rsidR="007F2AD9" w:rsidRPr="00B800B6">
        <w:rPr>
          <w:rFonts w:cs="Times New Roman"/>
          <w:sz w:val="24"/>
          <w:szCs w:val="24"/>
        </w:rPr>
        <w:t>about</w:t>
      </w:r>
      <w:r w:rsidRPr="00B800B6">
        <w:rPr>
          <w:rFonts w:cs="Times New Roman"/>
          <w:sz w:val="24"/>
          <w:szCs w:val="24"/>
        </w:rPr>
        <w:t xml:space="preserve"> rescheduling non-essential services to make time for the meeting.</w:t>
      </w:r>
      <w:r w:rsidR="007F2AD9" w:rsidRPr="00B800B6">
        <w:rPr>
          <w:rFonts w:cs="Times New Roman"/>
          <w:sz w:val="24"/>
          <w:szCs w:val="24"/>
        </w:rPr>
        <w:t xml:space="preserve"> </w:t>
      </w:r>
    </w:p>
    <w:p w14:paraId="2DD593C6" w14:textId="77777777" w:rsidR="005A793F" w:rsidRPr="00B800B6" w:rsidRDefault="005A793F" w:rsidP="00B800B6">
      <w:pPr>
        <w:pStyle w:val="ListParagraph"/>
        <w:numPr>
          <w:ilvl w:val="0"/>
          <w:numId w:val="2"/>
        </w:num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 xml:space="preserve">In general, we expect that all services capable of being rescheduled </w:t>
      </w:r>
      <w:r w:rsidR="006A2CDD" w:rsidRPr="00B800B6">
        <w:rPr>
          <w:rFonts w:cs="Times New Roman"/>
          <w:sz w:val="24"/>
          <w:szCs w:val="24"/>
        </w:rPr>
        <w:t xml:space="preserve">or delayed </w:t>
      </w:r>
      <w:r w:rsidRPr="00B800B6">
        <w:rPr>
          <w:rFonts w:cs="Times New Roman"/>
          <w:sz w:val="24"/>
          <w:szCs w:val="24"/>
        </w:rPr>
        <w:t xml:space="preserve">without putting patients’ at risk should be rescheduled to allow for workers’ attendance for the duration of the stop-work meeting. This extends to any non-urgent and elective surgeries, clinics and other scheduled duties.  </w:t>
      </w:r>
      <w:r w:rsidR="006A2CDD" w:rsidRPr="00B800B6">
        <w:rPr>
          <w:rFonts w:cs="Times New Roman"/>
          <w:sz w:val="24"/>
          <w:szCs w:val="24"/>
        </w:rPr>
        <w:t>As a litmus test, if a patient can “wait” for other reasons (e.g. absences of staff, ancillary resource limitations etc) then they can “wait” to facilitate a stop work meeting.</w:t>
      </w:r>
    </w:p>
    <w:p w14:paraId="7592D9CF" w14:textId="77777777" w:rsidR="005A793F" w:rsidRPr="00B800B6" w:rsidRDefault="005A793F" w:rsidP="00B800B6">
      <w:p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>Given it is incumbent upon both parties to facilitate the maximum possible attendance at such a meeting we expect that only a few, essential staff will therefore be absent from any stop-work meeting.</w:t>
      </w:r>
    </w:p>
    <w:p w14:paraId="1DBAD3F6" w14:textId="77777777" w:rsidR="0040071A" w:rsidRPr="00B800B6" w:rsidRDefault="005A3F9B" w:rsidP="00B800B6">
      <w:pPr>
        <w:jc w:val="both"/>
        <w:rPr>
          <w:rFonts w:cs="Times New Roman"/>
          <w:sz w:val="24"/>
          <w:szCs w:val="24"/>
        </w:rPr>
      </w:pPr>
      <w:r w:rsidRPr="00B800B6">
        <w:rPr>
          <w:rFonts w:cs="Times New Roman"/>
          <w:sz w:val="24"/>
          <w:szCs w:val="24"/>
        </w:rPr>
        <w:t>Thank you for your consideration.</w:t>
      </w:r>
    </w:p>
    <w:sectPr w:rsidR="0040071A" w:rsidRPr="00B800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0427C6" w14:textId="77777777" w:rsidR="00490184" w:rsidRDefault="00490184" w:rsidP="00490184">
      <w:pPr>
        <w:spacing w:after="0" w:line="240" w:lineRule="auto"/>
      </w:pPr>
      <w:r>
        <w:separator/>
      </w:r>
    </w:p>
  </w:endnote>
  <w:endnote w:type="continuationSeparator" w:id="0">
    <w:p w14:paraId="69FA899F" w14:textId="77777777" w:rsidR="00490184" w:rsidRDefault="00490184" w:rsidP="00490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F27F4" w14:textId="77777777" w:rsidR="006A2CDD" w:rsidRDefault="006A2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DC85BC" w14:textId="77777777" w:rsidR="006A2CDD" w:rsidRDefault="006A2C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927BF" w14:textId="77777777" w:rsidR="006A2CDD" w:rsidRDefault="006A2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623E4A" w14:textId="77777777" w:rsidR="00490184" w:rsidRDefault="00490184" w:rsidP="00490184">
      <w:pPr>
        <w:spacing w:after="0" w:line="240" w:lineRule="auto"/>
      </w:pPr>
      <w:r>
        <w:separator/>
      </w:r>
    </w:p>
  </w:footnote>
  <w:footnote w:type="continuationSeparator" w:id="0">
    <w:p w14:paraId="0EFC7011" w14:textId="77777777" w:rsidR="00490184" w:rsidRDefault="00490184" w:rsidP="00490184">
      <w:pPr>
        <w:spacing w:after="0" w:line="240" w:lineRule="auto"/>
      </w:pPr>
      <w:r>
        <w:continuationSeparator/>
      </w:r>
    </w:p>
  </w:footnote>
  <w:footnote w:id="1">
    <w:p w14:paraId="3888E11A" w14:textId="77777777" w:rsidR="00490184" w:rsidRPr="00490184" w:rsidRDefault="00490184">
      <w:pPr>
        <w:pStyle w:val="FootnoteText"/>
        <w:rPr>
          <w:rFonts w:ascii="Arial" w:hAnsi="Arial" w:cs="Arial"/>
          <w:bCs/>
        </w:rPr>
      </w:pPr>
      <w:r w:rsidRPr="00490184">
        <w:rPr>
          <w:rStyle w:val="FootnoteReference"/>
          <w:rFonts w:ascii="Arial" w:hAnsi="Arial" w:cs="Arial"/>
        </w:rPr>
        <w:footnoteRef/>
      </w:r>
      <w:r w:rsidRPr="00490184">
        <w:rPr>
          <w:rFonts w:ascii="Arial" w:hAnsi="Arial" w:cs="Arial"/>
        </w:rPr>
        <w:t xml:space="preserve"> </w:t>
      </w:r>
      <w:proofErr w:type="spellStart"/>
      <w:r w:rsidRPr="00490184">
        <w:rPr>
          <w:rFonts w:ascii="Arial" w:hAnsi="Arial" w:cs="Arial"/>
          <w:bCs/>
          <w:i/>
        </w:rPr>
        <w:t>Greenlea</w:t>
      </w:r>
      <w:proofErr w:type="spellEnd"/>
      <w:r w:rsidRPr="00490184">
        <w:rPr>
          <w:rFonts w:ascii="Arial" w:hAnsi="Arial" w:cs="Arial"/>
          <w:bCs/>
          <w:i/>
        </w:rPr>
        <w:t xml:space="preserve"> Premier Meats Ltd v New Zealand Meat &amp; Related Trade Union Inc</w:t>
      </w:r>
      <w:r w:rsidRPr="00490184">
        <w:rPr>
          <w:rFonts w:ascii="Arial" w:hAnsi="Arial" w:cs="Arial"/>
          <w:bCs/>
        </w:rPr>
        <w:t xml:space="preserve"> AC27A/06 [2006] </w:t>
      </w:r>
      <w:proofErr w:type="spellStart"/>
      <w:r w:rsidRPr="00490184">
        <w:rPr>
          <w:rFonts w:ascii="Arial" w:hAnsi="Arial" w:cs="Arial"/>
          <w:bCs/>
        </w:rPr>
        <w:t>NZEmpC</w:t>
      </w:r>
      <w:proofErr w:type="spellEnd"/>
      <w:r w:rsidRPr="00490184">
        <w:rPr>
          <w:rFonts w:ascii="Arial" w:hAnsi="Arial" w:cs="Arial"/>
          <w:bCs/>
        </w:rPr>
        <w:t xml:space="preserve"> 54.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B55E1" w14:textId="77777777" w:rsidR="006A2CDD" w:rsidRDefault="006A2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6E20F5" w14:textId="600367FE" w:rsidR="006A2CDD" w:rsidRDefault="006A2CD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E1AC7B" w14:textId="77777777" w:rsidR="006A2CDD" w:rsidRDefault="006A2C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F43554"/>
    <w:multiLevelType w:val="hybridMultilevel"/>
    <w:tmpl w:val="322641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E78D2"/>
    <w:multiLevelType w:val="hybridMultilevel"/>
    <w:tmpl w:val="CD46B45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01FC"/>
    <w:rsid w:val="000630DD"/>
    <w:rsid w:val="000B2DF9"/>
    <w:rsid w:val="000F465A"/>
    <w:rsid w:val="0040071A"/>
    <w:rsid w:val="004101FC"/>
    <w:rsid w:val="00490184"/>
    <w:rsid w:val="004D082A"/>
    <w:rsid w:val="005A3F9B"/>
    <w:rsid w:val="005A793F"/>
    <w:rsid w:val="006120B4"/>
    <w:rsid w:val="0062455E"/>
    <w:rsid w:val="006A2CDD"/>
    <w:rsid w:val="007F2AD9"/>
    <w:rsid w:val="0083561F"/>
    <w:rsid w:val="009B40C6"/>
    <w:rsid w:val="00A025FA"/>
    <w:rsid w:val="00A230FB"/>
    <w:rsid w:val="00B800B6"/>
    <w:rsid w:val="00BB6919"/>
    <w:rsid w:val="00D731A5"/>
    <w:rsid w:val="00E609B5"/>
    <w:rsid w:val="00FB6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E8519F7"/>
  <w15:docId w15:val="{D2149617-C408-4874-9235-0681F8C81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018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49018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018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0184"/>
    <w:rPr>
      <w:vertAlign w:val="superscrip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018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8356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2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CDD"/>
  </w:style>
  <w:style w:type="paragraph" w:styleId="Footer">
    <w:name w:val="footer"/>
    <w:basedOn w:val="Normal"/>
    <w:link w:val="FooterChar"/>
    <w:uiPriority w:val="99"/>
    <w:unhideWhenUsed/>
    <w:rsid w:val="006A2C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C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7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1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5AF01-0A7D-4F9D-B805-4381043ED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496</Words>
  <Characters>2829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Jono</dc:creator>
  <cp:lastModifiedBy>Kevin McFadgen</cp:lastModifiedBy>
  <cp:revision>2</cp:revision>
  <dcterms:created xsi:type="dcterms:W3CDTF">2019-08-25T20:52:00Z</dcterms:created>
  <dcterms:modified xsi:type="dcterms:W3CDTF">2019-08-25T20:52:00Z</dcterms:modified>
</cp:coreProperties>
</file>